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9"/>
        <w:gridCol w:w="3259"/>
        <w:gridCol w:w="3260"/>
      </w:tblGrid>
      <w:tr w:rsidR="00606E2A" w:rsidRPr="00606E2A" w:rsidTr="00606E2A">
        <w:trPr>
          <w:jc w:val="center"/>
        </w:trPr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06E2A" w:rsidRPr="00606E2A" w:rsidRDefault="00606E2A" w:rsidP="00606E2A">
            <w:pPr>
              <w:spacing w:line="36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bookmarkStart w:id="0" w:name="_GoBack"/>
            <w:r w:rsidRPr="00606E2A">
              <w:rPr>
                <w:rFonts w:ascii="Garamond" w:eastAsia="Calibri" w:hAnsi="Garamond" w:cs="Times New Roman"/>
                <w:noProof/>
                <w:sz w:val="24"/>
                <w:highlight w:val="yellow"/>
                <w:lang w:eastAsia="it-IT"/>
              </w:rPr>
              <w:drawing>
                <wp:inline distT="0" distB="0" distL="0" distR="0" wp14:anchorId="744931EC" wp14:editId="370D10DD">
                  <wp:extent cx="1859915" cy="1859915"/>
                  <wp:effectExtent l="0" t="0" r="0" b="0"/>
                  <wp:docPr id="9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859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06E2A" w:rsidRPr="00606E2A" w:rsidRDefault="00606E2A" w:rsidP="00606E2A">
            <w:pPr>
              <w:spacing w:line="36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606E2A">
              <w:rPr>
                <w:rFonts w:ascii="Garamond" w:eastAsia="Calibri" w:hAnsi="Garamond" w:cs="Times New Roman"/>
                <w:noProof/>
                <w:sz w:val="24"/>
                <w:lang w:eastAsia="it-IT"/>
              </w:rPr>
              <w:drawing>
                <wp:inline distT="0" distB="0" distL="0" distR="0" wp14:anchorId="0B4CB7F1" wp14:editId="1939613C">
                  <wp:extent cx="1730375" cy="1730375"/>
                  <wp:effectExtent l="0" t="0" r="0" b="0"/>
                  <wp:docPr id="9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730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06E2A" w:rsidRPr="00606E2A" w:rsidRDefault="00606E2A" w:rsidP="00606E2A">
            <w:pPr>
              <w:spacing w:line="36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606E2A">
              <w:rPr>
                <w:rFonts w:ascii="Garamond" w:eastAsia="Calibri" w:hAnsi="Garamond" w:cs="Times New Roman"/>
                <w:noProof/>
                <w:sz w:val="24"/>
                <w:lang w:eastAsia="it-IT"/>
              </w:rPr>
              <w:drawing>
                <wp:inline distT="0" distB="0" distL="0" distR="0" wp14:anchorId="4953F59E" wp14:editId="3502786E">
                  <wp:extent cx="1745615" cy="1745615"/>
                  <wp:effectExtent l="0" t="0" r="0" b="0"/>
                  <wp:docPr id="9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745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606E2A" w:rsidRPr="00606E2A" w:rsidRDefault="00606E2A" w:rsidP="00606E2A">
      <w:pPr>
        <w:spacing w:after="0" w:line="360" w:lineRule="auto"/>
        <w:rPr>
          <w:rFonts w:ascii="Garamond" w:eastAsia="Calibri" w:hAnsi="Garamond" w:cs="Times New Roman"/>
          <w:b/>
          <w:bCs/>
          <w:sz w:val="20"/>
          <w:szCs w:val="20"/>
        </w:rPr>
      </w:pPr>
    </w:p>
    <w:p w:rsidR="00606E2A" w:rsidRPr="00830960" w:rsidRDefault="00606E2A" w:rsidP="00BD4652">
      <w:pPr>
        <w:spacing w:after="0" w:line="360" w:lineRule="auto"/>
        <w:ind w:left="360"/>
        <w:jc w:val="center"/>
        <w:rPr>
          <w:rFonts w:ascii="Tahoma" w:eastAsia="Calibri" w:hAnsi="Tahoma" w:cs="Tahoma"/>
          <w:b/>
          <w:bCs/>
          <w:color w:val="FF3300"/>
          <w:sz w:val="44"/>
          <w:szCs w:val="44"/>
        </w:rPr>
      </w:pPr>
      <w:r w:rsidRPr="00606E2A">
        <w:rPr>
          <w:rFonts w:ascii="Tahoma" w:eastAsia="Calibri" w:hAnsi="Tahoma" w:cs="Tahoma"/>
          <w:b/>
          <w:bCs/>
          <w:color w:val="FF3300"/>
          <w:sz w:val="44"/>
          <w:szCs w:val="44"/>
        </w:rPr>
        <w:t>SISBA</w:t>
      </w:r>
    </w:p>
    <w:p w:rsidR="00BD4652" w:rsidRPr="00606E2A" w:rsidRDefault="00BD4652" w:rsidP="00BD4652">
      <w:pPr>
        <w:spacing w:after="0" w:line="360" w:lineRule="auto"/>
        <w:ind w:left="360"/>
        <w:jc w:val="center"/>
        <w:rPr>
          <w:rFonts w:ascii="Tahoma" w:eastAsia="Calibri" w:hAnsi="Tahoma" w:cs="Tahoma"/>
          <w:b/>
          <w:bCs/>
          <w:color w:val="FF3300"/>
          <w:sz w:val="20"/>
          <w:szCs w:val="20"/>
        </w:rPr>
      </w:pPr>
    </w:p>
    <w:p w:rsidR="00606E2A" w:rsidRPr="00830960" w:rsidRDefault="00606E2A" w:rsidP="00606E2A">
      <w:pPr>
        <w:spacing w:after="0" w:line="360" w:lineRule="auto"/>
        <w:ind w:left="360"/>
        <w:jc w:val="center"/>
        <w:rPr>
          <w:rFonts w:ascii="Tahoma" w:eastAsia="Calibri" w:hAnsi="Tahoma" w:cs="Tahoma"/>
          <w:b/>
          <w:bCs/>
          <w:color w:val="FF3300"/>
          <w:sz w:val="44"/>
          <w:szCs w:val="44"/>
        </w:rPr>
      </w:pPr>
      <w:r w:rsidRPr="00606E2A">
        <w:rPr>
          <w:rFonts w:ascii="Tahoma" w:eastAsia="Calibri" w:hAnsi="Tahoma" w:cs="Tahoma"/>
          <w:b/>
          <w:bCs/>
          <w:color w:val="FF3300"/>
          <w:sz w:val="44"/>
          <w:szCs w:val="44"/>
        </w:rPr>
        <w:t xml:space="preserve">Scuola </w:t>
      </w:r>
      <w:proofErr w:type="spellStart"/>
      <w:r w:rsidRPr="00606E2A">
        <w:rPr>
          <w:rFonts w:ascii="Tahoma" w:eastAsia="Calibri" w:hAnsi="Tahoma" w:cs="Tahoma"/>
          <w:b/>
          <w:bCs/>
          <w:color w:val="FF3300"/>
          <w:sz w:val="44"/>
          <w:szCs w:val="44"/>
        </w:rPr>
        <w:t>Interateneo</w:t>
      </w:r>
      <w:proofErr w:type="spellEnd"/>
      <w:r w:rsidRPr="00606E2A">
        <w:rPr>
          <w:rFonts w:ascii="Tahoma" w:eastAsia="Calibri" w:hAnsi="Tahoma" w:cs="Tahoma"/>
          <w:b/>
          <w:bCs/>
          <w:color w:val="FF3300"/>
          <w:sz w:val="44"/>
          <w:szCs w:val="44"/>
        </w:rPr>
        <w:t xml:space="preserve"> di Specia</w:t>
      </w:r>
      <w:r w:rsidRPr="00830960">
        <w:rPr>
          <w:rFonts w:ascii="Tahoma" w:eastAsia="Calibri" w:hAnsi="Tahoma" w:cs="Tahoma"/>
          <w:b/>
          <w:bCs/>
          <w:color w:val="FF3300"/>
          <w:sz w:val="44"/>
          <w:szCs w:val="44"/>
        </w:rPr>
        <w:t>lizzazione in Beni Archeologici</w:t>
      </w:r>
    </w:p>
    <w:p w:rsidR="00606E2A" w:rsidRPr="00606E2A" w:rsidRDefault="00606E2A" w:rsidP="00606E2A">
      <w:pPr>
        <w:spacing w:after="0" w:line="360" w:lineRule="auto"/>
        <w:ind w:left="360"/>
        <w:jc w:val="center"/>
        <w:rPr>
          <w:rFonts w:ascii="Tahoma" w:eastAsia="Calibri" w:hAnsi="Tahoma" w:cs="Tahoma"/>
          <w:b/>
          <w:bCs/>
          <w:sz w:val="20"/>
          <w:szCs w:val="20"/>
        </w:rPr>
      </w:pPr>
    </w:p>
    <w:p w:rsidR="00606E2A" w:rsidRPr="00606E2A" w:rsidRDefault="00606E2A" w:rsidP="00606E2A">
      <w:pPr>
        <w:spacing w:after="0" w:line="360" w:lineRule="auto"/>
        <w:ind w:left="360"/>
        <w:jc w:val="center"/>
        <w:rPr>
          <w:rFonts w:ascii="Tahoma" w:eastAsia="Calibri" w:hAnsi="Tahoma" w:cs="Tahoma"/>
          <w:b/>
          <w:bCs/>
          <w:sz w:val="44"/>
          <w:szCs w:val="44"/>
        </w:rPr>
      </w:pPr>
      <w:r w:rsidRPr="00606E2A">
        <w:rPr>
          <w:rFonts w:ascii="Tahoma" w:eastAsia="Calibri" w:hAnsi="Tahoma" w:cs="Tahoma"/>
          <w:b/>
          <w:bCs/>
          <w:sz w:val="44"/>
          <w:szCs w:val="44"/>
        </w:rPr>
        <w:t xml:space="preserve">Università di Trieste, Udine e Venezia Ca’ </w:t>
      </w:r>
      <w:proofErr w:type="spellStart"/>
      <w:r w:rsidRPr="00606E2A">
        <w:rPr>
          <w:rFonts w:ascii="Tahoma" w:eastAsia="Calibri" w:hAnsi="Tahoma" w:cs="Tahoma"/>
          <w:b/>
          <w:bCs/>
          <w:sz w:val="44"/>
          <w:szCs w:val="44"/>
        </w:rPr>
        <w:t>Foscari</w:t>
      </w:r>
      <w:proofErr w:type="spellEnd"/>
    </w:p>
    <w:p w:rsidR="00606E2A" w:rsidRDefault="00606E2A" w:rsidP="00606E2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it-IT"/>
        </w:rPr>
      </w:pPr>
    </w:p>
    <w:p w:rsidR="00606E2A" w:rsidRDefault="003A0155" w:rsidP="00BD465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21D62A0E" wp14:editId="366ECFA0">
            <wp:extent cx="6667500" cy="3019425"/>
            <wp:effectExtent l="0" t="0" r="0" b="9525"/>
            <wp:docPr id="1" name="Immagine 1" descr="Accordo storico: alla Fondazione Aquileia la gestione di tutto il sito  archeologico di Aquileia romana (104mila metri quadri) con l'obiettivo di  valorizzare la città antica attraverso un percorso storico unico tra sc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ordo storico: alla Fondazione Aquileia la gestione di tutto il sito  archeologico di Aquileia romana (104mila metri quadri) con l'obiettivo di  valorizzare la città antica attraverso un percorso storico unico tra scav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2A" w:rsidRPr="00830960" w:rsidRDefault="00606E2A" w:rsidP="00606E2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sz w:val="20"/>
          <w:szCs w:val="20"/>
          <w:lang w:eastAsia="it-IT"/>
        </w:rPr>
      </w:pPr>
    </w:p>
    <w:p w:rsidR="00BD4652" w:rsidRPr="00830960" w:rsidRDefault="00606E2A" w:rsidP="00BD465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sz w:val="40"/>
          <w:szCs w:val="40"/>
          <w:lang w:eastAsia="it-IT"/>
        </w:rPr>
      </w:pPr>
      <w:r w:rsidRPr="00606E2A">
        <w:rPr>
          <w:rFonts w:ascii="Helvetica" w:eastAsia="Times New Roman" w:hAnsi="Helvetica" w:cs="Helvetica"/>
          <w:b/>
          <w:bCs/>
          <w:sz w:val="40"/>
          <w:szCs w:val="40"/>
          <w:lang w:eastAsia="it-IT"/>
        </w:rPr>
        <w:t>Trenta i posti dispon</w:t>
      </w:r>
      <w:r w:rsidR="003A0155">
        <w:rPr>
          <w:rFonts w:ascii="Helvetica" w:eastAsia="Times New Roman" w:hAnsi="Helvetica" w:cs="Helvetica"/>
          <w:b/>
          <w:bCs/>
          <w:sz w:val="40"/>
          <w:szCs w:val="40"/>
          <w:lang w:eastAsia="it-IT"/>
        </w:rPr>
        <w:t>ibili per l'anno accademico 2025/26</w:t>
      </w:r>
      <w:r w:rsidRPr="00830960">
        <w:rPr>
          <w:rFonts w:ascii="Helvetica" w:eastAsia="Times New Roman" w:hAnsi="Helvetica" w:cs="Helvetica"/>
          <w:b/>
          <w:bCs/>
          <w:sz w:val="40"/>
          <w:szCs w:val="40"/>
          <w:lang w:eastAsia="it-IT"/>
        </w:rPr>
        <w:t xml:space="preserve">: </w:t>
      </w:r>
    </w:p>
    <w:p w:rsidR="00606E2A" w:rsidRPr="00830960" w:rsidRDefault="003A0155" w:rsidP="00BD465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E3E3E"/>
          <w:kern w:val="36"/>
          <w:sz w:val="40"/>
          <w:szCs w:val="40"/>
          <w:lang w:eastAsia="it-IT"/>
        </w:rPr>
      </w:pPr>
      <w:r>
        <w:rPr>
          <w:rFonts w:ascii="Helvetica" w:eastAsia="Times New Roman" w:hAnsi="Helvetica" w:cs="Helvetica"/>
          <w:color w:val="3E3E3E"/>
          <w:kern w:val="36"/>
          <w:sz w:val="40"/>
          <w:szCs w:val="40"/>
          <w:lang w:eastAsia="it-IT"/>
        </w:rPr>
        <w:t>domande entro il 24</w:t>
      </w:r>
      <w:r w:rsidR="00606E2A" w:rsidRPr="00606E2A">
        <w:rPr>
          <w:rFonts w:ascii="Helvetica" w:eastAsia="Times New Roman" w:hAnsi="Helvetica" w:cs="Helvetica"/>
          <w:color w:val="3E3E3E"/>
          <w:kern w:val="36"/>
          <w:sz w:val="40"/>
          <w:szCs w:val="40"/>
          <w:lang w:eastAsia="it-IT"/>
        </w:rPr>
        <w:t xml:space="preserve"> novembre</w:t>
      </w:r>
    </w:p>
    <w:p w:rsidR="00BD4652" w:rsidRPr="00606E2A" w:rsidRDefault="00BD4652" w:rsidP="00606E2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sz w:val="20"/>
          <w:szCs w:val="20"/>
          <w:lang w:eastAsia="it-IT"/>
        </w:rPr>
      </w:pPr>
    </w:p>
    <w:p w:rsidR="00BD4652" w:rsidRPr="00606E2A" w:rsidRDefault="00606E2A" w:rsidP="00BD4652">
      <w:pPr>
        <w:shd w:val="clear" w:color="auto" w:fill="FFFFFF"/>
        <w:spacing w:after="450" w:line="240" w:lineRule="auto"/>
        <w:jc w:val="both"/>
        <w:rPr>
          <w:rFonts w:ascii="Helvetica" w:eastAsia="Times New Roman" w:hAnsi="Helvetica" w:cs="Helvetica"/>
          <w:b/>
          <w:color w:val="FF3300"/>
          <w:sz w:val="33"/>
          <w:szCs w:val="33"/>
          <w:lang w:eastAsia="it-IT"/>
        </w:rPr>
      </w:pPr>
      <w:r w:rsidRPr="00606E2A">
        <w:rPr>
          <w:rFonts w:ascii="Helvetica" w:eastAsia="Times New Roman" w:hAnsi="Helvetica" w:cs="Helvetica"/>
          <w:b/>
          <w:color w:val="FF3300"/>
          <w:sz w:val="33"/>
          <w:szCs w:val="33"/>
          <w:lang w:eastAsia="it-IT"/>
        </w:rPr>
        <w:t>Forma profili professionali nel settore della conoscenza, tutela, gestione, conservazione e valorizzazione del patrimonio archeologico</w:t>
      </w:r>
    </w:p>
    <w:p w:rsidR="003B260F" w:rsidRPr="000B2C31" w:rsidRDefault="003B260F" w:rsidP="00BD4652">
      <w:pPr>
        <w:shd w:val="clear" w:color="auto" w:fill="FFFFFF"/>
        <w:spacing w:after="192" w:line="240" w:lineRule="auto"/>
        <w:jc w:val="both"/>
        <w:rPr>
          <w:rFonts w:ascii="Helvetica" w:eastAsia="Times New Roman" w:hAnsi="Helvetica" w:cs="Helvetica"/>
          <w:b/>
          <w:color w:val="3E3E3E"/>
          <w:sz w:val="24"/>
          <w:szCs w:val="24"/>
          <w:u w:val="single"/>
          <w:lang w:eastAsia="it-IT"/>
        </w:rPr>
      </w:pPr>
      <w:r w:rsidRPr="003B260F">
        <w:rPr>
          <w:rFonts w:ascii="Helvetica" w:eastAsia="Times New Roman" w:hAnsi="Helvetica" w:cs="Helvetica"/>
          <w:b/>
          <w:color w:val="3E3E3E"/>
          <w:sz w:val="24"/>
          <w:szCs w:val="24"/>
          <w:lang w:eastAsia="it-IT"/>
        </w:rPr>
        <w:t>Scadenza presentazione domande</w:t>
      </w:r>
      <w:r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 xml:space="preserve"> di ammissione online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, tramite la piattaforma Esse3 (</w:t>
      </w:r>
      <w:hyperlink r:id="rId9" w:history="1">
        <w:r w:rsidRPr="00606E2A">
          <w:rPr>
            <w:rFonts w:ascii="Helvetica" w:eastAsia="Times New Roman" w:hAnsi="Helvetica" w:cs="Helvetica"/>
            <w:color w:val="0000FF"/>
            <w:sz w:val="24"/>
            <w:szCs w:val="24"/>
            <w:u w:val="single"/>
            <w:lang w:eastAsia="it-IT"/>
          </w:rPr>
          <w:t>https://uniud.esse3.cineca.it/Home.do</w:t>
        </w:r>
      </w:hyperlink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)</w:t>
      </w:r>
      <w:r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 xml:space="preserve">: </w:t>
      </w:r>
      <w:r w:rsidR="003A0155" w:rsidRPr="000B2C31">
        <w:rPr>
          <w:rFonts w:ascii="Helvetica" w:eastAsia="Times New Roman" w:hAnsi="Helvetica" w:cs="Helvetica"/>
          <w:b/>
          <w:color w:val="3E3E3E"/>
          <w:sz w:val="24"/>
          <w:szCs w:val="24"/>
          <w:u w:val="single"/>
          <w:lang w:eastAsia="it-IT"/>
        </w:rPr>
        <w:t>lunedì 24 novembre 2025</w:t>
      </w:r>
      <w:r w:rsidRPr="000B2C31">
        <w:rPr>
          <w:rFonts w:ascii="Helvetica" w:eastAsia="Times New Roman" w:hAnsi="Helvetica" w:cs="Helvetica"/>
          <w:b/>
          <w:color w:val="3E3E3E"/>
          <w:sz w:val="24"/>
          <w:szCs w:val="24"/>
          <w:u w:val="single"/>
          <w:lang w:eastAsia="it-IT"/>
        </w:rPr>
        <w:t>.</w:t>
      </w:r>
    </w:p>
    <w:p w:rsidR="003B260F" w:rsidRDefault="003B260F" w:rsidP="00BD4652">
      <w:pPr>
        <w:shd w:val="clear" w:color="auto" w:fill="FFFFFF"/>
        <w:spacing w:after="192" w:line="240" w:lineRule="auto"/>
        <w:jc w:val="both"/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</w:pP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Le prove dell'</w:t>
      </w: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esame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 si terranno lunedì </w:t>
      </w:r>
      <w:r w:rsidR="003A0155" w:rsidRP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u w:val="single"/>
          <w:lang w:eastAsia="it-IT"/>
        </w:rPr>
        <w:t>1</w:t>
      </w:r>
      <w:r w:rsidRP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u w:val="single"/>
          <w:lang w:eastAsia="it-IT"/>
        </w:rPr>
        <w:t xml:space="preserve"> dicembre</w:t>
      </w:r>
      <w:r w:rsidRPr="000B2C31">
        <w:rPr>
          <w:rFonts w:ascii="Helvetica" w:eastAsia="Times New Roman" w:hAnsi="Helvetica" w:cs="Helvetica"/>
          <w:color w:val="3E3E3E"/>
          <w:sz w:val="24"/>
          <w:szCs w:val="24"/>
          <w:u w:val="single"/>
          <w:lang w:eastAsia="it-IT"/>
        </w:rPr>
        <w:t> 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e martedì </w:t>
      </w:r>
      <w:r w:rsidR="003A0155" w:rsidRP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u w:val="single"/>
          <w:lang w:eastAsia="it-IT"/>
        </w:rPr>
        <w:t>2</w:t>
      </w:r>
      <w:r w:rsidRP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u w:val="single"/>
          <w:lang w:eastAsia="it-IT"/>
        </w:rPr>
        <w:t xml:space="preserve"> dicembre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 nella</w:t>
      </w: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 xml:space="preserve"> Sala Convegni </w:t>
      </w:r>
      <w:proofErr w:type="spellStart"/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Gusmani</w:t>
      </w:r>
      <w:proofErr w:type="spellEnd"/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 xml:space="preserve"> (aula 3) di Palazzo Antonini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.</w:t>
      </w:r>
    </w:p>
    <w:p w:rsidR="003B260F" w:rsidRDefault="003B260F" w:rsidP="003B260F">
      <w:pPr>
        <w:shd w:val="clear" w:color="auto" w:fill="FFFFFF"/>
        <w:spacing w:after="192" w:line="240" w:lineRule="auto"/>
        <w:jc w:val="both"/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</w:pP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Gli idonei potranno quindi </w:t>
      </w: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immatricolarsi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 entro venerdì </w:t>
      </w:r>
      <w:r w:rsidR="003A0155" w:rsidRP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u w:val="single"/>
          <w:lang w:eastAsia="it-IT"/>
        </w:rPr>
        <w:t>12</w:t>
      </w:r>
      <w:r w:rsidRP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u w:val="single"/>
          <w:lang w:eastAsia="it-IT"/>
        </w:rPr>
        <w:t xml:space="preserve"> dicembre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 xml:space="preserve">. </w:t>
      </w:r>
    </w:p>
    <w:p w:rsidR="003B260F" w:rsidRPr="00606E2A" w:rsidRDefault="003B260F" w:rsidP="003B260F">
      <w:pPr>
        <w:shd w:val="clear" w:color="auto" w:fill="FFFFFF"/>
        <w:spacing w:after="192" w:line="240" w:lineRule="auto"/>
        <w:jc w:val="both"/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</w:pP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Tutte le informazioni sono disponibili nel</w:t>
      </w:r>
      <w:r w:rsidR="00C00E14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 xml:space="preserve"> Manifesto degli Studi(</w:t>
      </w:r>
      <w:hyperlink r:id="rId10" w:history="1">
        <w:r w:rsidR="00C00E14" w:rsidRPr="0045792C">
          <w:rPr>
            <w:rStyle w:val="Collegamentoipertestuale"/>
            <w:rFonts w:ascii="Helvetica" w:eastAsia="Times New Roman" w:hAnsi="Helvetica" w:cs="Helvetica"/>
            <w:sz w:val="24"/>
            <w:szCs w:val="24"/>
            <w:lang w:eastAsia="it-IT"/>
          </w:rPr>
          <w:t>https://dium.uniud.it/documents/3353/Manifesto_SISBA_25_26_def_1.pdf</w:t>
        </w:r>
      </w:hyperlink>
      <w:r w:rsidR="00C00E14">
        <w:t>)</w:t>
      </w:r>
    </w:p>
    <w:p w:rsidR="000B2C31" w:rsidRDefault="003B260F" w:rsidP="00BD4652">
      <w:pPr>
        <w:shd w:val="clear" w:color="auto" w:fill="FFFFFF"/>
        <w:spacing w:after="192" w:line="240" w:lineRule="auto"/>
        <w:jc w:val="both"/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</w:pPr>
      <w:r w:rsidRPr="000B2C31">
        <w:rPr>
          <w:rFonts w:ascii="Helvetica" w:eastAsia="Times New Roman" w:hAnsi="Helvetica" w:cs="Helvetica"/>
          <w:bCs/>
          <w:color w:val="3E3E3E"/>
          <w:sz w:val="24"/>
          <w:szCs w:val="24"/>
          <w:lang w:eastAsia="it-IT"/>
        </w:rPr>
        <w:t>Sono quattro i curricula professionalizzanti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, relativi ai settori scientifico-disciplinari di carattere archeologico: </w:t>
      </w: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Archeologia preistorica e protostorica; Archeologia classica; Archeologia tardoantica e medievale; Archeologia orientale.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 </w:t>
      </w:r>
    </w:p>
    <w:p w:rsidR="003B260F" w:rsidRPr="003B260F" w:rsidRDefault="003B260F" w:rsidP="00BD4652">
      <w:pPr>
        <w:shd w:val="clear" w:color="auto" w:fill="FFFFFF"/>
        <w:spacing w:after="192" w:line="240" w:lineRule="auto"/>
        <w:jc w:val="both"/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</w:pP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L'</w:t>
      </w: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attività didattica</w:t>
      </w:r>
      <w:r w:rsid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, che inizierà il 23 febbraio 2026 e si concluderà il 24 aprile 2026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, comprendente lezioni e seminari, </w:t>
      </w:r>
      <w:r w:rsidR="000B2C31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 xml:space="preserve">in modalità mista: fino al 1° aprile 2026 in presenza </w:t>
      </w: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ad Aquileia,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 presso il Museo Archeologico Nazionale-Soprintendenza per i Beni Archeologici del Friuli Venezia Giulia o nelle strutture rese disponibili dalle Amministrazioni pe</w:t>
      </w:r>
      <w:r w:rsidR="000B2C31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 xml:space="preserve">riferiche regionali, successivamente </w:t>
      </w:r>
      <w:r w:rsidR="000B2C31" w:rsidRPr="000B2C31">
        <w:rPr>
          <w:rFonts w:ascii="Helvetica" w:eastAsia="Times New Roman" w:hAnsi="Helvetica" w:cs="Helvetica"/>
          <w:b/>
          <w:color w:val="3E3E3E"/>
          <w:sz w:val="24"/>
          <w:szCs w:val="24"/>
          <w:lang w:eastAsia="it-IT"/>
        </w:rPr>
        <w:t>online sulla Piattaforma Microsoft Teams</w:t>
      </w:r>
      <w:r w:rsidRPr="000B2C31">
        <w:rPr>
          <w:rFonts w:ascii="Helvetica" w:eastAsia="Times New Roman" w:hAnsi="Helvetica" w:cs="Helvetica"/>
          <w:b/>
          <w:color w:val="3E3E3E"/>
          <w:sz w:val="24"/>
          <w:szCs w:val="24"/>
          <w:lang w:eastAsia="it-IT"/>
        </w:rPr>
        <w:t>.</w:t>
      </w:r>
    </w:p>
    <w:p w:rsidR="00B266B9" w:rsidRPr="00BD4652" w:rsidRDefault="00606E2A" w:rsidP="00BD4652">
      <w:pPr>
        <w:shd w:val="clear" w:color="auto" w:fill="FFFFFF"/>
        <w:spacing w:line="240" w:lineRule="auto"/>
        <w:jc w:val="both"/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</w:pPr>
      <w:r w:rsidRPr="00606E2A">
        <w:rPr>
          <w:rFonts w:ascii="Helvetica" w:eastAsia="Times New Roman" w:hAnsi="Helvetica" w:cs="Helvetica"/>
          <w:b/>
          <w:bCs/>
          <w:color w:val="3E3E3E"/>
          <w:sz w:val="24"/>
          <w:szCs w:val="24"/>
          <w:lang w:eastAsia="it-IT"/>
        </w:rPr>
        <w:t>Al concorso di ammissione possono partecipare</w:t>
      </w:r>
      <w:r w:rsidRPr="00606E2A">
        <w:rPr>
          <w:rFonts w:ascii="Helvetica" w:eastAsia="Times New Roman" w:hAnsi="Helvetica" w:cs="Helvetica"/>
          <w:color w:val="3E3E3E"/>
          <w:sz w:val="24"/>
          <w:szCs w:val="24"/>
          <w:lang w:eastAsia="it-IT"/>
        </w:rPr>
        <w:t> i laureati dei corsi di laurea specialistica in Archeologia (classe 2/S) e della magistrale in Beni Archeologici (classe LM2); i laureati in possesso di titoli del precedente ordinamento didattico equiparati ai suddetti del nuovo ordinamento; i candidati con titolo di studio straniero riconosciuto idoneo. L'esame prevede una prova scritta e una orale. La prima consiste in un elaborato (non in un test): il candidato dovrà argomentare un titolo sorteggiato, attinente alle tematiche del curriculum prescelto. La prova orale prevede invece la verifica delle conoscenze acquisite nella pregressa carriera universitaria.</w:t>
      </w:r>
    </w:p>
    <w:sectPr w:rsidR="00B266B9" w:rsidRPr="00BD4652" w:rsidSect="00606E2A">
      <w:pgSz w:w="16838" w:h="23811" w:code="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E2A"/>
    <w:rsid w:val="000B2C31"/>
    <w:rsid w:val="003A0155"/>
    <w:rsid w:val="003B260F"/>
    <w:rsid w:val="00606E2A"/>
    <w:rsid w:val="00830960"/>
    <w:rsid w:val="00975BB4"/>
    <w:rsid w:val="00B266B9"/>
    <w:rsid w:val="00BD4652"/>
    <w:rsid w:val="00C0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EB65A"/>
  <w15:chartTrackingRefBased/>
  <w15:docId w15:val="{68E7F6B9-9196-426A-90E8-814D8DA66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46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4652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B26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8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56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ium.uniud.it/documents/3353/Manifesto_SISBA_25_26_def_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ud.esse3.cineca.it/Home.d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F9D37-D295-4E48-B820-BDB265929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Melilla</dc:creator>
  <cp:keywords/>
  <dc:description/>
  <cp:lastModifiedBy>Barbara Melilla</cp:lastModifiedBy>
  <cp:revision>4</cp:revision>
  <cp:lastPrinted>2023-09-26T07:23:00Z</cp:lastPrinted>
  <dcterms:created xsi:type="dcterms:W3CDTF">2023-09-26T06:46:00Z</dcterms:created>
  <dcterms:modified xsi:type="dcterms:W3CDTF">2025-10-13T10:33:00Z</dcterms:modified>
</cp:coreProperties>
</file>